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A800C" w14:textId="5DDB9A1C" w:rsidR="00E204A5" w:rsidRPr="008F369B"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1935BF9A" w:rsidR="00E204A5" w:rsidRPr="000328BA" w:rsidRDefault="008F369B">
      <w:pPr>
        <w:shd w:val="clear" w:color="auto" w:fill="FFD966" w:themeFill="accent4" w:themeFillTint="99"/>
        <w:rPr>
          <w:rFonts w:ascii="Calibri" w:hAnsi="Calibri" w:cs="Arial"/>
          <w:b/>
          <w:sz w:val="24"/>
        </w:rPr>
      </w:pPr>
      <w:r>
        <w:rPr>
          <w:rFonts w:ascii="Calibri" w:hAnsi="Calibri" w:cs="Arial"/>
          <w:b/>
          <w:sz w:val="24"/>
        </w:rPr>
        <w:t xml:space="preserve">Stojanový injektor kontrastních látek pro CT </w:t>
      </w:r>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6CBB2395" w14:textId="10CE9FFE" w:rsidR="00702EA9"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5CC24D2E" w14:textId="77777777" w:rsidR="005E6443" w:rsidRDefault="005E6443">
      <w:pPr>
        <w:jc w:val="both"/>
        <w:rPr>
          <w:rFonts w:asciiTheme="minorHAnsi" w:hAnsiTheme="minorHAnsi" w:cstheme="minorHAnsi"/>
          <w:sz w:val="22"/>
          <w:szCs w:val="22"/>
        </w:rPr>
      </w:pPr>
    </w:p>
    <w:p w14:paraId="1AF3EF0A" w14:textId="5D1F3204" w:rsidR="00396BD9" w:rsidRDefault="00B94A1B" w:rsidP="005E6443">
      <w:pPr>
        <w:pStyle w:val="Nadpis2"/>
        <w:rPr>
          <w:sz w:val="28"/>
          <w:szCs w:val="28"/>
        </w:rPr>
      </w:pPr>
      <w:r>
        <w:rPr>
          <w:sz w:val="28"/>
          <w:szCs w:val="28"/>
        </w:rPr>
        <w:t>Technické parametry</w:t>
      </w:r>
    </w:p>
    <w:p w14:paraId="1A53C91D" w14:textId="77777777" w:rsidR="005E6443" w:rsidRPr="005E6443" w:rsidRDefault="005E6443" w:rsidP="005E6443">
      <w:pPr>
        <w:rPr>
          <w:lang w:eastAsia="en-US"/>
        </w:rPr>
      </w:pPr>
    </w:p>
    <w:tbl>
      <w:tblPr>
        <w:tblStyle w:val="Mkatabulky"/>
        <w:tblpPr w:leftFromText="141" w:rightFromText="141" w:vertAnchor="text" w:tblpY="1"/>
        <w:tblOverlap w:val="never"/>
        <w:tblW w:w="9498" w:type="dxa"/>
        <w:tblLayout w:type="fixed"/>
        <w:tblLook w:val="04A0" w:firstRow="1" w:lastRow="0" w:firstColumn="1" w:lastColumn="0" w:noHBand="0" w:noVBand="1"/>
      </w:tblPr>
      <w:tblGrid>
        <w:gridCol w:w="5100"/>
        <w:gridCol w:w="1559"/>
        <w:gridCol w:w="2839"/>
      </w:tblGrid>
      <w:tr w:rsidR="006E27FD" w14:paraId="110CD215" w14:textId="77777777" w:rsidTr="000328BA">
        <w:trPr>
          <w:cantSplit/>
          <w:trHeight w:val="387"/>
        </w:trPr>
        <w:tc>
          <w:tcPr>
            <w:tcW w:w="5100" w:type="dxa"/>
            <w:shd w:val="clear" w:color="auto" w:fill="BDD6EE" w:themeFill="accent1" w:themeFillTint="66"/>
            <w:vAlign w:val="center"/>
          </w:tcPr>
          <w:p w14:paraId="54808BA8" w14:textId="77777777" w:rsidR="006E27FD" w:rsidRDefault="006E27FD" w:rsidP="000328BA">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398" w:type="dxa"/>
            <w:gridSpan w:val="2"/>
            <w:shd w:val="clear" w:color="auto" w:fill="BDD6EE" w:themeFill="accent1" w:themeFillTint="66"/>
            <w:vAlign w:val="center"/>
          </w:tcPr>
          <w:p w14:paraId="627A8352" w14:textId="365F12B8" w:rsidR="006E27FD" w:rsidRPr="00160D1F" w:rsidRDefault="008F369B" w:rsidP="00160D1F">
            <w:pPr>
              <w:rPr>
                <w:rFonts w:asciiTheme="minorHAnsi" w:hAnsiTheme="minorHAnsi"/>
                <w:b/>
                <w:sz w:val="22"/>
              </w:rPr>
            </w:pPr>
            <w:r w:rsidRPr="008F369B">
              <w:rPr>
                <w:rFonts w:asciiTheme="minorHAnsi" w:hAnsiTheme="minorHAnsi"/>
                <w:b/>
                <w:sz w:val="22"/>
              </w:rPr>
              <w:t xml:space="preserve">Stojanový injektor kontrastních látek pro CT </w:t>
            </w:r>
          </w:p>
        </w:tc>
      </w:tr>
      <w:tr w:rsidR="006E27FD" w14:paraId="3EA8C5C6" w14:textId="77777777" w:rsidTr="000328BA">
        <w:trPr>
          <w:cantSplit/>
        </w:trPr>
        <w:tc>
          <w:tcPr>
            <w:tcW w:w="5100" w:type="dxa"/>
            <w:tcBorders>
              <w:bottom w:val="single" w:sz="4" w:space="0" w:color="auto"/>
            </w:tcBorders>
            <w:shd w:val="clear" w:color="auto" w:fill="F7CAAC" w:themeFill="accent2" w:themeFillTint="66"/>
          </w:tcPr>
          <w:p w14:paraId="33E43BAF" w14:textId="77777777" w:rsidR="006E27FD" w:rsidRDefault="006E27FD" w:rsidP="000328BA">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59" w:type="dxa"/>
            <w:shd w:val="clear" w:color="auto" w:fill="F7CAAC" w:themeFill="accent2" w:themeFillTint="66"/>
          </w:tcPr>
          <w:p w14:paraId="55D26A0F" w14:textId="77777777" w:rsidR="006E27FD" w:rsidRDefault="006E27FD" w:rsidP="000328BA">
            <w:pPr>
              <w:jc w:val="center"/>
              <w:rPr>
                <w:rFonts w:asciiTheme="minorHAnsi" w:hAnsiTheme="minorHAnsi"/>
                <w:b/>
                <w:sz w:val="22"/>
              </w:rPr>
            </w:pPr>
            <w:r>
              <w:rPr>
                <w:rFonts w:asciiTheme="minorHAnsi" w:hAnsiTheme="minorHAnsi"/>
                <w:b/>
                <w:sz w:val="22"/>
              </w:rPr>
              <w:t>Splnění požadavku ANO/NE</w:t>
            </w:r>
          </w:p>
          <w:p w14:paraId="043BB837" w14:textId="77777777" w:rsidR="006E27FD" w:rsidRDefault="006E27FD" w:rsidP="000328BA">
            <w:pPr>
              <w:jc w:val="center"/>
              <w:rPr>
                <w:rFonts w:asciiTheme="minorHAnsi" w:hAnsiTheme="minorHAnsi"/>
                <w:b/>
                <w:sz w:val="22"/>
              </w:rPr>
            </w:pPr>
            <w:r>
              <w:rPr>
                <w:rFonts w:ascii="Calibri" w:hAnsi="Calibri"/>
                <w:b/>
                <w:sz w:val="16"/>
                <w:szCs w:val="16"/>
              </w:rPr>
              <w:t>(nutno uvést požadované údaje)</w:t>
            </w:r>
          </w:p>
        </w:tc>
        <w:tc>
          <w:tcPr>
            <w:tcW w:w="2839" w:type="dxa"/>
            <w:shd w:val="clear" w:color="auto" w:fill="F7CAAC" w:themeFill="accent2" w:themeFillTint="66"/>
          </w:tcPr>
          <w:p w14:paraId="0216C5A4" w14:textId="77777777" w:rsidR="006E27FD" w:rsidRDefault="006E27FD" w:rsidP="000328BA">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8F369B" w14:paraId="0C3EB92E" w14:textId="77777777" w:rsidTr="00B55012">
        <w:trPr>
          <w:trHeight w:val="260"/>
        </w:trPr>
        <w:tc>
          <w:tcPr>
            <w:tcW w:w="9498" w:type="dxa"/>
            <w:gridSpan w:val="3"/>
            <w:shd w:val="clear" w:color="auto" w:fill="D9D9D9" w:themeFill="background1" w:themeFillShade="D9"/>
          </w:tcPr>
          <w:p w14:paraId="2F6336EC" w14:textId="600505F1" w:rsidR="008F369B" w:rsidRDefault="008F369B" w:rsidP="008F369B">
            <w:pPr>
              <w:rPr>
                <w:rFonts w:ascii="Calibri" w:hAnsi="Calibri" w:cs="Calibri"/>
                <w:color w:val="FF0000"/>
                <w:szCs w:val="20"/>
                <w:lang w:eastAsia="en-US"/>
              </w:rPr>
            </w:pPr>
            <w:r>
              <w:rPr>
                <w:rFonts w:cs="Arial"/>
                <w:b/>
                <w:bCs/>
                <w:szCs w:val="20"/>
              </w:rPr>
              <w:t xml:space="preserve">Charakteristika stojanového injektoru kontrastních látek pro CT </w:t>
            </w:r>
          </w:p>
        </w:tc>
      </w:tr>
      <w:tr w:rsidR="008F369B" w14:paraId="45CF9964" w14:textId="77777777" w:rsidTr="00665FC4">
        <w:trPr>
          <w:trHeight w:val="476"/>
        </w:trPr>
        <w:tc>
          <w:tcPr>
            <w:tcW w:w="5100" w:type="dxa"/>
          </w:tcPr>
          <w:p w14:paraId="159800BD" w14:textId="24ECF1E7" w:rsidR="008F369B" w:rsidRDefault="008F369B" w:rsidP="008F369B">
            <w:pPr>
              <w:autoSpaceDE w:val="0"/>
              <w:autoSpaceDN w:val="0"/>
              <w:adjustRightInd w:val="0"/>
              <w:rPr>
                <w:rFonts w:ascii="MyriadPro-Regular" w:eastAsiaTheme="minorHAnsi" w:hAnsi="MyriadPro-Regular" w:cs="MyriadPro-Regular"/>
                <w:sz w:val="22"/>
                <w:szCs w:val="22"/>
                <w:lang w:eastAsia="en-US"/>
              </w:rPr>
            </w:pPr>
            <w:r>
              <w:rPr>
                <w:rFonts w:cs="Arial"/>
                <w:szCs w:val="20"/>
              </w:rPr>
              <w:t>A</w:t>
            </w:r>
            <w:r w:rsidRPr="000C378D">
              <w:rPr>
                <w:rFonts w:cs="Arial"/>
                <w:szCs w:val="20"/>
              </w:rPr>
              <w:t>utomatický troj pístový tlakový injektor kontrastní látky a fyziologického roztoku umístěný na pojízdném stojanu.</w:t>
            </w:r>
          </w:p>
        </w:tc>
        <w:tc>
          <w:tcPr>
            <w:tcW w:w="1559" w:type="dxa"/>
            <w:vAlign w:val="center"/>
          </w:tcPr>
          <w:p w14:paraId="03611114" w14:textId="3C42DA9F" w:rsidR="008F369B" w:rsidRDefault="008F369B" w:rsidP="008F369B">
            <w:pPr>
              <w:jc w:val="center"/>
              <w:rPr>
                <w:rFonts w:ascii="Calibri" w:hAnsi="Calibri" w:cs="Calibri"/>
                <w:color w:val="FF0000"/>
                <w:szCs w:val="20"/>
                <w:lang w:eastAsia="en-US"/>
              </w:rPr>
            </w:pPr>
            <w:r w:rsidRPr="009602D5">
              <w:rPr>
                <w:rFonts w:cs="Arial"/>
                <w:color w:val="FF0000"/>
                <w:szCs w:val="20"/>
              </w:rPr>
              <w:t>(doplní dodavatel)</w:t>
            </w:r>
          </w:p>
        </w:tc>
        <w:tc>
          <w:tcPr>
            <w:tcW w:w="2839" w:type="dxa"/>
            <w:vAlign w:val="center"/>
          </w:tcPr>
          <w:p w14:paraId="3DD8EB81" w14:textId="3BBEDB2B" w:rsidR="008F369B" w:rsidRDefault="008F369B" w:rsidP="008F369B">
            <w:pPr>
              <w:jc w:val="center"/>
              <w:rPr>
                <w:rFonts w:ascii="Calibri" w:hAnsi="Calibri" w:cs="Calibri"/>
                <w:color w:val="FF0000"/>
                <w:szCs w:val="20"/>
                <w:lang w:eastAsia="en-US"/>
              </w:rPr>
            </w:pPr>
            <w:r w:rsidRPr="009602D5">
              <w:rPr>
                <w:rFonts w:cs="Arial"/>
                <w:color w:val="FF0000"/>
                <w:szCs w:val="20"/>
              </w:rPr>
              <w:t>(doplní dodavatel)</w:t>
            </w:r>
          </w:p>
        </w:tc>
      </w:tr>
      <w:tr w:rsidR="008F369B" w14:paraId="57297B9E" w14:textId="77777777" w:rsidTr="008F369B">
        <w:trPr>
          <w:trHeight w:val="280"/>
        </w:trPr>
        <w:tc>
          <w:tcPr>
            <w:tcW w:w="9498" w:type="dxa"/>
            <w:gridSpan w:val="3"/>
            <w:shd w:val="clear" w:color="auto" w:fill="D9D9D9" w:themeFill="background1" w:themeFillShade="D9"/>
            <w:vAlign w:val="center"/>
            <w:hideMark/>
          </w:tcPr>
          <w:p w14:paraId="7BE9E600" w14:textId="3C33ED83" w:rsidR="008F369B" w:rsidRDefault="008F369B" w:rsidP="008F369B">
            <w:pPr>
              <w:rPr>
                <w:rFonts w:ascii="Calibri" w:hAnsi="Calibri" w:cs="Calibri"/>
                <w:color w:val="FF0000"/>
                <w:szCs w:val="20"/>
                <w:lang w:eastAsia="en-US"/>
              </w:rPr>
            </w:pPr>
            <w:r w:rsidRPr="000C378D">
              <w:rPr>
                <w:rFonts w:cs="Arial"/>
                <w:b/>
                <w:bCs/>
                <w:szCs w:val="20"/>
              </w:rPr>
              <w:t>Stojanový injektor kontrastních látek pro CT</w:t>
            </w:r>
          </w:p>
        </w:tc>
      </w:tr>
      <w:tr w:rsidR="008F369B" w14:paraId="5979BF95" w14:textId="77777777" w:rsidTr="005C45E1">
        <w:trPr>
          <w:trHeight w:val="476"/>
        </w:trPr>
        <w:tc>
          <w:tcPr>
            <w:tcW w:w="5100" w:type="dxa"/>
            <w:hideMark/>
          </w:tcPr>
          <w:p w14:paraId="6D7852B5" w14:textId="7215F0E7" w:rsidR="008F369B" w:rsidRDefault="008F369B" w:rsidP="008F369B">
            <w:pPr>
              <w:autoSpaceDE w:val="0"/>
              <w:autoSpaceDN w:val="0"/>
              <w:adjustRightInd w:val="0"/>
              <w:rPr>
                <w:rFonts w:ascii="MyriadPro-Regular" w:eastAsiaTheme="minorHAnsi" w:hAnsi="MyriadPro-Regular" w:cs="MyriadPro-Regular"/>
                <w:sz w:val="22"/>
                <w:lang w:eastAsia="en-US"/>
              </w:rPr>
            </w:pPr>
            <w:r>
              <w:rPr>
                <w:rFonts w:cs="Arial"/>
                <w:szCs w:val="20"/>
              </w:rPr>
              <w:t>Plná kompatibilita se</w:t>
            </w:r>
            <w:r w:rsidRPr="000C378D">
              <w:rPr>
                <w:rFonts w:cs="Arial"/>
                <w:szCs w:val="20"/>
              </w:rPr>
              <w:t xml:space="preserve"> systém</w:t>
            </w:r>
            <w:r>
              <w:rPr>
                <w:rFonts w:cs="Arial"/>
                <w:szCs w:val="20"/>
              </w:rPr>
              <w:t>em</w:t>
            </w:r>
            <w:r w:rsidRPr="000C378D">
              <w:rPr>
                <w:rFonts w:cs="Arial"/>
                <w:szCs w:val="20"/>
              </w:rPr>
              <w:t xml:space="preserve"> počítačové tomografie (Canon </w:t>
            </w:r>
            <w:proofErr w:type="spellStart"/>
            <w:r w:rsidRPr="000C378D">
              <w:rPr>
                <w:rFonts w:cs="Arial"/>
                <w:szCs w:val="20"/>
              </w:rPr>
              <w:t>Aquilion</w:t>
            </w:r>
            <w:proofErr w:type="spellEnd"/>
            <w:r w:rsidRPr="000C378D">
              <w:rPr>
                <w:rFonts w:cs="Arial"/>
                <w:szCs w:val="20"/>
              </w:rPr>
              <w:t xml:space="preserve"> Prime SP)</w:t>
            </w:r>
            <w:r>
              <w:rPr>
                <w:rFonts w:cs="Arial"/>
                <w:szCs w:val="20"/>
              </w:rPr>
              <w:t>, který je na pracovišti zadavatele</w:t>
            </w:r>
          </w:p>
        </w:tc>
        <w:tc>
          <w:tcPr>
            <w:tcW w:w="1559" w:type="dxa"/>
            <w:vAlign w:val="center"/>
            <w:hideMark/>
          </w:tcPr>
          <w:p w14:paraId="3C09E2B0" w14:textId="5EEE3307" w:rsidR="008F369B" w:rsidRDefault="008F369B" w:rsidP="008F369B">
            <w:pPr>
              <w:jc w:val="center"/>
              <w:rPr>
                <w:rFonts w:ascii="Calibri" w:hAnsi="Calibri" w:cs="Calibri"/>
                <w:color w:val="FF0000"/>
                <w:szCs w:val="20"/>
                <w:lang w:eastAsia="en-US"/>
              </w:rPr>
            </w:pPr>
            <w:r w:rsidRPr="009602D5">
              <w:rPr>
                <w:rFonts w:cs="Arial"/>
                <w:color w:val="FF0000"/>
                <w:szCs w:val="20"/>
              </w:rPr>
              <w:t>(doplní dodavatel)</w:t>
            </w:r>
          </w:p>
        </w:tc>
        <w:tc>
          <w:tcPr>
            <w:tcW w:w="2839" w:type="dxa"/>
            <w:vAlign w:val="center"/>
            <w:hideMark/>
          </w:tcPr>
          <w:p w14:paraId="624A5A5E" w14:textId="754BC87B" w:rsidR="008F369B" w:rsidRDefault="008F369B" w:rsidP="008F369B">
            <w:pPr>
              <w:jc w:val="center"/>
              <w:rPr>
                <w:rFonts w:ascii="Calibri" w:hAnsi="Calibri" w:cs="Calibri"/>
                <w:color w:val="FF0000"/>
                <w:szCs w:val="20"/>
                <w:lang w:eastAsia="en-US"/>
              </w:rPr>
            </w:pPr>
            <w:r w:rsidRPr="009602D5">
              <w:rPr>
                <w:rFonts w:cs="Arial"/>
                <w:color w:val="FF0000"/>
                <w:szCs w:val="20"/>
              </w:rPr>
              <w:t>(doplní dodavatel)</w:t>
            </w:r>
          </w:p>
        </w:tc>
      </w:tr>
      <w:tr w:rsidR="008F369B" w14:paraId="4D1AA800" w14:textId="77777777" w:rsidTr="005C45E1">
        <w:trPr>
          <w:trHeight w:val="476"/>
        </w:trPr>
        <w:tc>
          <w:tcPr>
            <w:tcW w:w="5100" w:type="dxa"/>
            <w:hideMark/>
          </w:tcPr>
          <w:p w14:paraId="2EB7A580" w14:textId="60F96C86" w:rsidR="008F369B" w:rsidRDefault="008F369B" w:rsidP="008F369B">
            <w:pPr>
              <w:autoSpaceDE w:val="0"/>
              <w:autoSpaceDN w:val="0"/>
              <w:adjustRightInd w:val="0"/>
              <w:rPr>
                <w:rFonts w:ascii="MyriadPro-Regular" w:eastAsiaTheme="minorHAnsi" w:hAnsi="MyriadPro-Regular" w:cs="MyriadPro-Regular"/>
                <w:sz w:val="22"/>
                <w:lang w:eastAsia="en-US"/>
              </w:rPr>
            </w:pPr>
            <w:r w:rsidRPr="000C378D">
              <w:rPr>
                <w:rFonts w:cs="Arial"/>
                <w:szCs w:val="20"/>
              </w:rPr>
              <w:t>Možnost použití souběžně dvou různých kontrastních látek v originálních obalech bez nutnosti výměny systémového spotřebního materiálu po dobu minimálně 24 h</w:t>
            </w:r>
            <w:r>
              <w:rPr>
                <w:rFonts w:ascii="Calibri" w:hAnsi="Calibri" w:cs="Calibri"/>
                <w:color w:val="000000"/>
              </w:rPr>
              <w:t xml:space="preserve"> </w:t>
            </w:r>
          </w:p>
        </w:tc>
        <w:tc>
          <w:tcPr>
            <w:tcW w:w="1559" w:type="dxa"/>
            <w:vAlign w:val="center"/>
            <w:hideMark/>
          </w:tcPr>
          <w:p w14:paraId="5654E854" w14:textId="381969AD" w:rsidR="008F369B" w:rsidRDefault="008F369B" w:rsidP="008F369B">
            <w:pPr>
              <w:jc w:val="center"/>
              <w:rPr>
                <w:rFonts w:ascii="Calibri" w:hAnsi="Calibri" w:cs="Calibri"/>
                <w:color w:val="FF0000"/>
                <w:szCs w:val="20"/>
                <w:lang w:eastAsia="en-US"/>
              </w:rPr>
            </w:pPr>
            <w:r w:rsidRPr="009602D5">
              <w:rPr>
                <w:rFonts w:cs="Arial"/>
                <w:color w:val="FF0000"/>
                <w:szCs w:val="20"/>
              </w:rPr>
              <w:t>(doplní dodavatel)</w:t>
            </w:r>
          </w:p>
        </w:tc>
        <w:tc>
          <w:tcPr>
            <w:tcW w:w="2839" w:type="dxa"/>
            <w:vAlign w:val="center"/>
            <w:hideMark/>
          </w:tcPr>
          <w:p w14:paraId="1261CDA3" w14:textId="5DE8DE51" w:rsidR="008F369B" w:rsidRDefault="008F369B" w:rsidP="008F369B">
            <w:pPr>
              <w:jc w:val="center"/>
              <w:rPr>
                <w:rFonts w:ascii="Calibri" w:hAnsi="Calibri" w:cs="Calibri"/>
                <w:color w:val="FF0000"/>
                <w:szCs w:val="20"/>
                <w:lang w:eastAsia="en-US"/>
              </w:rPr>
            </w:pPr>
            <w:r w:rsidRPr="009602D5">
              <w:rPr>
                <w:rFonts w:cs="Arial"/>
                <w:color w:val="FF0000"/>
                <w:szCs w:val="20"/>
              </w:rPr>
              <w:t>(doplní dodavatel)</w:t>
            </w:r>
          </w:p>
        </w:tc>
      </w:tr>
      <w:tr w:rsidR="008F369B" w14:paraId="5F82AEAE" w14:textId="77777777" w:rsidTr="005C45E1">
        <w:trPr>
          <w:trHeight w:val="476"/>
        </w:trPr>
        <w:tc>
          <w:tcPr>
            <w:tcW w:w="5100" w:type="dxa"/>
            <w:hideMark/>
          </w:tcPr>
          <w:p w14:paraId="12ABF446" w14:textId="749D208B" w:rsidR="008F369B" w:rsidRDefault="008F369B" w:rsidP="008F369B">
            <w:pPr>
              <w:autoSpaceDE w:val="0"/>
              <w:autoSpaceDN w:val="0"/>
              <w:adjustRightInd w:val="0"/>
              <w:rPr>
                <w:rFonts w:ascii="MyriadPro-Regular" w:eastAsiaTheme="minorHAnsi" w:hAnsi="MyriadPro-Regular" w:cs="MyriadPro-Regular"/>
                <w:sz w:val="22"/>
                <w:lang w:eastAsia="en-US"/>
              </w:rPr>
            </w:pPr>
            <w:r w:rsidRPr="000C378D">
              <w:rPr>
                <w:rFonts w:cs="Arial"/>
                <w:szCs w:val="20"/>
              </w:rPr>
              <w:t xml:space="preserve">Bezdrátová komunikace s ovládací konzolí v českém jazyce a ovládání z </w:t>
            </w:r>
            <w:proofErr w:type="spellStart"/>
            <w:r w:rsidRPr="000C378D">
              <w:rPr>
                <w:rFonts w:cs="Arial"/>
                <w:szCs w:val="20"/>
              </w:rPr>
              <w:t>ovladovny</w:t>
            </w:r>
            <w:proofErr w:type="spellEnd"/>
            <w:r w:rsidRPr="000C378D">
              <w:rPr>
                <w:rFonts w:cs="Arial"/>
                <w:szCs w:val="20"/>
              </w:rPr>
              <w:t xml:space="preserve"> prostřednictvím dotykového panelu</w:t>
            </w:r>
          </w:p>
        </w:tc>
        <w:tc>
          <w:tcPr>
            <w:tcW w:w="1559" w:type="dxa"/>
            <w:vAlign w:val="center"/>
            <w:hideMark/>
          </w:tcPr>
          <w:p w14:paraId="69C6E6F6" w14:textId="683EB2EF" w:rsidR="008F369B" w:rsidRDefault="008F369B" w:rsidP="008F369B">
            <w:pPr>
              <w:jc w:val="center"/>
              <w:rPr>
                <w:rFonts w:ascii="Calibri" w:hAnsi="Calibri" w:cs="Calibri"/>
                <w:color w:val="FF0000"/>
                <w:szCs w:val="20"/>
                <w:lang w:eastAsia="en-US"/>
              </w:rPr>
            </w:pPr>
            <w:r w:rsidRPr="009602D5">
              <w:rPr>
                <w:rFonts w:cs="Arial"/>
                <w:color w:val="FF0000"/>
                <w:szCs w:val="20"/>
              </w:rPr>
              <w:t>(doplní dodavatel)</w:t>
            </w:r>
          </w:p>
        </w:tc>
        <w:tc>
          <w:tcPr>
            <w:tcW w:w="2839" w:type="dxa"/>
            <w:vAlign w:val="center"/>
            <w:hideMark/>
          </w:tcPr>
          <w:p w14:paraId="0E975ACA" w14:textId="26CAA2E3" w:rsidR="008F369B" w:rsidRDefault="008F369B" w:rsidP="008F369B">
            <w:pPr>
              <w:jc w:val="center"/>
              <w:rPr>
                <w:rFonts w:ascii="Calibri" w:hAnsi="Calibri" w:cs="Calibri"/>
                <w:color w:val="FF0000"/>
                <w:szCs w:val="20"/>
                <w:lang w:eastAsia="en-US"/>
              </w:rPr>
            </w:pPr>
            <w:r w:rsidRPr="009602D5">
              <w:rPr>
                <w:rFonts w:cs="Arial"/>
                <w:color w:val="FF0000"/>
                <w:szCs w:val="20"/>
              </w:rPr>
              <w:t>(doplní dodavatel)</w:t>
            </w:r>
          </w:p>
        </w:tc>
      </w:tr>
      <w:tr w:rsidR="008F369B" w14:paraId="684B3820" w14:textId="77777777" w:rsidTr="005C45E1">
        <w:trPr>
          <w:trHeight w:val="476"/>
        </w:trPr>
        <w:tc>
          <w:tcPr>
            <w:tcW w:w="5100" w:type="dxa"/>
            <w:hideMark/>
          </w:tcPr>
          <w:p w14:paraId="33742500" w14:textId="5A4B1696" w:rsidR="008F369B" w:rsidRDefault="008F369B" w:rsidP="008F369B">
            <w:pPr>
              <w:autoSpaceDE w:val="0"/>
              <w:autoSpaceDN w:val="0"/>
              <w:adjustRightInd w:val="0"/>
              <w:rPr>
                <w:rFonts w:ascii="MyriadPro-Regular" w:eastAsiaTheme="minorHAnsi" w:hAnsi="MyriadPro-Regular" w:cs="MyriadPro-Regular"/>
                <w:sz w:val="22"/>
                <w:lang w:eastAsia="en-US"/>
              </w:rPr>
            </w:pPr>
            <w:r w:rsidRPr="000C378D">
              <w:rPr>
                <w:rFonts w:cs="Arial"/>
                <w:szCs w:val="20"/>
              </w:rPr>
              <w:t>Možnost archivace protokolů v paměti</w:t>
            </w:r>
          </w:p>
        </w:tc>
        <w:tc>
          <w:tcPr>
            <w:tcW w:w="1559" w:type="dxa"/>
            <w:vAlign w:val="center"/>
            <w:hideMark/>
          </w:tcPr>
          <w:p w14:paraId="09BC3809" w14:textId="77C9884F" w:rsidR="008F369B" w:rsidRDefault="008F369B" w:rsidP="008F369B">
            <w:pPr>
              <w:jc w:val="center"/>
              <w:rPr>
                <w:rFonts w:ascii="Calibri" w:hAnsi="Calibri" w:cs="Calibri"/>
                <w:color w:val="FF0000"/>
                <w:szCs w:val="20"/>
                <w:lang w:eastAsia="en-US"/>
              </w:rPr>
            </w:pPr>
            <w:r w:rsidRPr="009602D5">
              <w:rPr>
                <w:rFonts w:cs="Arial"/>
                <w:color w:val="FF0000"/>
                <w:szCs w:val="20"/>
              </w:rPr>
              <w:t>(doplní dodavatel)</w:t>
            </w:r>
          </w:p>
        </w:tc>
        <w:tc>
          <w:tcPr>
            <w:tcW w:w="2839" w:type="dxa"/>
            <w:vAlign w:val="center"/>
            <w:hideMark/>
          </w:tcPr>
          <w:p w14:paraId="14BE6C3E" w14:textId="71271B0A" w:rsidR="008F369B" w:rsidRDefault="008F369B" w:rsidP="008F369B">
            <w:pPr>
              <w:jc w:val="center"/>
              <w:rPr>
                <w:rFonts w:ascii="Calibri" w:hAnsi="Calibri" w:cs="Calibri"/>
                <w:color w:val="FF0000"/>
                <w:szCs w:val="20"/>
                <w:lang w:eastAsia="en-US"/>
              </w:rPr>
            </w:pPr>
            <w:r w:rsidRPr="009602D5">
              <w:rPr>
                <w:rFonts w:cs="Arial"/>
                <w:color w:val="FF0000"/>
                <w:szCs w:val="20"/>
              </w:rPr>
              <w:t>(doplní dodavatel)</w:t>
            </w:r>
          </w:p>
        </w:tc>
      </w:tr>
      <w:tr w:rsidR="008F369B" w14:paraId="245FA07A" w14:textId="77777777" w:rsidTr="000328BA">
        <w:trPr>
          <w:trHeight w:val="476"/>
        </w:trPr>
        <w:tc>
          <w:tcPr>
            <w:tcW w:w="5100" w:type="dxa"/>
            <w:hideMark/>
          </w:tcPr>
          <w:p w14:paraId="28B506E8" w14:textId="7086E9BA" w:rsidR="008F369B" w:rsidRDefault="008F369B" w:rsidP="008F369B">
            <w:pPr>
              <w:autoSpaceDE w:val="0"/>
              <w:autoSpaceDN w:val="0"/>
              <w:adjustRightInd w:val="0"/>
              <w:rPr>
                <w:rFonts w:ascii="MyriadPro-Regular" w:eastAsiaTheme="minorHAnsi" w:hAnsi="MyriadPro-Regular" w:cs="MyriadPro-Regular"/>
                <w:sz w:val="22"/>
                <w:lang w:eastAsia="en-US"/>
              </w:rPr>
            </w:pPr>
            <w:r w:rsidRPr="000C378D">
              <w:rPr>
                <w:rFonts w:cs="Arial"/>
                <w:szCs w:val="20"/>
              </w:rPr>
              <w:t>Programovatelný průtok min. 0,1-10 ml/sec s krokem 0,1ml/sec.</w:t>
            </w:r>
          </w:p>
        </w:tc>
        <w:tc>
          <w:tcPr>
            <w:tcW w:w="1559" w:type="dxa"/>
            <w:hideMark/>
          </w:tcPr>
          <w:p w14:paraId="43D6BF9B" w14:textId="53CAA05D" w:rsidR="008F369B" w:rsidRDefault="008F369B" w:rsidP="008F369B">
            <w:pPr>
              <w:jc w:val="center"/>
              <w:rPr>
                <w:rFonts w:ascii="Calibri" w:hAnsi="Calibri" w:cs="Calibri"/>
                <w:color w:val="FF0000"/>
                <w:szCs w:val="20"/>
                <w:lang w:eastAsia="en-US"/>
              </w:rPr>
            </w:pPr>
            <w:r w:rsidRPr="002A4856">
              <w:rPr>
                <w:rFonts w:cs="Arial"/>
                <w:color w:val="FF0000"/>
                <w:szCs w:val="20"/>
              </w:rPr>
              <w:t>(doplní dodavatel)</w:t>
            </w:r>
          </w:p>
        </w:tc>
        <w:tc>
          <w:tcPr>
            <w:tcW w:w="2839" w:type="dxa"/>
            <w:hideMark/>
          </w:tcPr>
          <w:p w14:paraId="20818889" w14:textId="32BF0757" w:rsidR="008F369B" w:rsidRDefault="008F369B" w:rsidP="008F369B">
            <w:pPr>
              <w:jc w:val="center"/>
              <w:rPr>
                <w:rFonts w:ascii="Calibri" w:hAnsi="Calibri" w:cs="Calibri"/>
                <w:color w:val="FF0000"/>
                <w:szCs w:val="20"/>
                <w:lang w:eastAsia="en-US"/>
              </w:rPr>
            </w:pPr>
            <w:r w:rsidRPr="002A4856">
              <w:rPr>
                <w:rFonts w:cs="Arial"/>
                <w:color w:val="FF0000"/>
                <w:szCs w:val="20"/>
              </w:rPr>
              <w:t>(doplní dodavatel)</w:t>
            </w:r>
          </w:p>
        </w:tc>
      </w:tr>
      <w:tr w:rsidR="008F369B" w14:paraId="4737CD7A" w14:textId="77777777" w:rsidTr="000328BA">
        <w:trPr>
          <w:trHeight w:val="476"/>
        </w:trPr>
        <w:tc>
          <w:tcPr>
            <w:tcW w:w="5100" w:type="dxa"/>
            <w:hideMark/>
          </w:tcPr>
          <w:p w14:paraId="039C1E59" w14:textId="63286B0D" w:rsidR="008F369B" w:rsidRDefault="008F369B" w:rsidP="008F369B">
            <w:pPr>
              <w:autoSpaceDE w:val="0"/>
              <w:autoSpaceDN w:val="0"/>
              <w:adjustRightInd w:val="0"/>
              <w:rPr>
                <w:rFonts w:ascii="MyriadPro-Regular" w:eastAsiaTheme="minorHAnsi" w:hAnsi="MyriadPro-Regular" w:cs="MyriadPro-Regular"/>
                <w:sz w:val="22"/>
                <w:lang w:eastAsia="en-US"/>
              </w:rPr>
            </w:pPr>
            <w:r w:rsidRPr="000C378D">
              <w:rPr>
                <w:rFonts w:cs="Arial"/>
                <w:szCs w:val="20"/>
              </w:rPr>
              <w:t>Možnost nastavení tlakového limitu až 300 psi</w:t>
            </w:r>
          </w:p>
        </w:tc>
        <w:tc>
          <w:tcPr>
            <w:tcW w:w="1559" w:type="dxa"/>
            <w:hideMark/>
          </w:tcPr>
          <w:p w14:paraId="1744EE63" w14:textId="2BE99DEE" w:rsidR="008F369B" w:rsidRDefault="008F369B" w:rsidP="008F369B">
            <w:pPr>
              <w:jc w:val="center"/>
              <w:rPr>
                <w:rFonts w:ascii="Calibri" w:hAnsi="Calibri" w:cs="Calibri"/>
                <w:color w:val="FF0000"/>
                <w:szCs w:val="20"/>
                <w:lang w:eastAsia="en-US"/>
              </w:rPr>
            </w:pPr>
            <w:r w:rsidRPr="0080741C">
              <w:rPr>
                <w:rFonts w:cs="Arial"/>
                <w:color w:val="FF0000"/>
                <w:szCs w:val="20"/>
              </w:rPr>
              <w:t>(doplní dodavatel)</w:t>
            </w:r>
          </w:p>
        </w:tc>
        <w:tc>
          <w:tcPr>
            <w:tcW w:w="2839" w:type="dxa"/>
            <w:hideMark/>
          </w:tcPr>
          <w:p w14:paraId="4A7A0C54" w14:textId="430AB2A6" w:rsidR="008F369B" w:rsidRDefault="008F369B" w:rsidP="008F369B">
            <w:pPr>
              <w:jc w:val="center"/>
              <w:rPr>
                <w:rFonts w:ascii="Calibri" w:hAnsi="Calibri" w:cs="Calibri"/>
                <w:color w:val="FF0000"/>
                <w:szCs w:val="20"/>
                <w:lang w:eastAsia="en-US"/>
              </w:rPr>
            </w:pPr>
            <w:r w:rsidRPr="0080741C">
              <w:rPr>
                <w:rFonts w:cs="Arial"/>
                <w:color w:val="FF0000"/>
                <w:szCs w:val="20"/>
              </w:rPr>
              <w:t>(doplní dodavatel)</w:t>
            </w:r>
          </w:p>
        </w:tc>
      </w:tr>
      <w:tr w:rsidR="008F369B" w14:paraId="5C676086" w14:textId="77777777" w:rsidTr="000328BA">
        <w:trPr>
          <w:trHeight w:val="476"/>
        </w:trPr>
        <w:tc>
          <w:tcPr>
            <w:tcW w:w="5100" w:type="dxa"/>
            <w:hideMark/>
          </w:tcPr>
          <w:p w14:paraId="42D2AECA" w14:textId="67AE770F" w:rsidR="008F369B" w:rsidRDefault="008F369B" w:rsidP="008F369B">
            <w:pPr>
              <w:autoSpaceDE w:val="0"/>
              <w:autoSpaceDN w:val="0"/>
              <w:adjustRightInd w:val="0"/>
              <w:rPr>
                <w:rFonts w:ascii="MyriadPro-Regular" w:eastAsiaTheme="minorHAnsi" w:hAnsi="MyriadPro-Regular" w:cs="MyriadPro-Regular"/>
                <w:sz w:val="22"/>
                <w:lang w:eastAsia="en-US"/>
              </w:rPr>
            </w:pPr>
            <w:r w:rsidRPr="000C378D">
              <w:rPr>
                <w:rFonts w:cs="Arial"/>
                <w:szCs w:val="20"/>
              </w:rPr>
              <w:t>Vstřik kontrastní látky a fyziologického roztoku současně v různých poměrech</w:t>
            </w:r>
          </w:p>
        </w:tc>
        <w:tc>
          <w:tcPr>
            <w:tcW w:w="1559" w:type="dxa"/>
            <w:hideMark/>
          </w:tcPr>
          <w:p w14:paraId="278863AF" w14:textId="3178AEFF" w:rsidR="008F369B" w:rsidRDefault="008F369B" w:rsidP="008F369B">
            <w:pPr>
              <w:jc w:val="center"/>
              <w:rPr>
                <w:rFonts w:ascii="Calibri" w:hAnsi="Calibri" w:cs="Calibri"/>
                <w:color w:val="FF0000"/>
                <w:szCs w:val="20"/>
                <w:lang w:eastAsia="en-US"/>
              </w:rPr>
            </w:pPr>
            <w:r w:rsidRPr="002A4856">
              <w:rPr>
                <w:rFonts w:cs="Arial"/>
                <w:color w:val="FF0000"/>
                <w:szCs w:val="20"/>
              </w:rPr>
              <w:t>(doplní dodavatel)</w:t>
            </w:r>
          </w:p>
        </w:tc>
        <w:tc>
          <w:tcPr>
            <w:tcW w:w="2839" w:type="dxa"/>
            <w:hideMark/>
          </w:tcPr>
          <w:p w14:paraId="3665046B" w14:textId="526DD190" w:rsidR="008F369B" w:rsidRDefault="008F369B" w:rsidP="008F369B">
            <w:pPr>
              <w:jc w:val="center"/>
              <w:rPr>
                <w:rFonts w:ascii="Calibri" w:hAnsi="Calibri" w:cs="Calibri"/>
                <w:color w:val="FF0000"/>
                <w:szCs w:val="20"/>
                <w:lang w:eastAsia="en-US"/>
              </w:rPr>
            </w:pPr>
            <w:r w:rsidRPr="002A4856">
              <w:rPr>
                <w:rFonts w:cs="Arial"/>
                <w:color w:val="FF0000"/>
                <w:szCs w:val="20"/>
              </w:rPr>
              <w:t>(doplní dodavatel)</w:t>
            </w:r>
          </w:p>
        </w:tc>
      </w:tr>
      <w:tr w:rsidR="008F369B" w14:paraId="4AA3889F" w14:textId="77777777" w:rsidTr="000328BA">
        <w:trPr>
          <w:trHeight w:val="476"/>
        </w:trPr>
        <w:tc>
          <w:tcPr>
            <w:tcW w:w="5100" w:type="dxa"/>
            <w:hideMark/>
          </w:tcPr>
          <w:p w14:paraId="04EEE4DA" w14:textId="4D12BCFA" w:rsidR="008F369B" w:rsidRDefault="008F369B" w:rsidP="008F369B">
            <w:pPr>
              <w:autoSpaceDE w:val="0"/>
              <w:autoSpaceDN w:val="0"/>
              <w:adjustRightInd w:val="0"/>
              <w:rPr>
                <w:rFonts w:ascii="MyriadPro-Regular" w:eastAsiaTheme="minorHAnsi" w:hAnsi="MyriadPro-Regular" w:cs="MyriadPro-Regular"/>
                <w:sz w:val="22"/>
                <w:lang w:eastAsia="en-US"/>
              </w:rPr>
            </w:pPr>
            <w:r w:rsidRPr="000C378D">
              <w:rPr>
                <w:rFonts w:cs="Arial"/>
                <w:szCs w:val="20"/>
              </w:rPr>
              <w:t>Integrovaná čtečka čarových kódů na lahvičkách s kontrastní látkou</w:t>
            </w:r>
          </w:p>
        </w:tc>
        <w:tc>
          <w:tcPr>
            <w:tcW w:w="1559" w:type="dxa"/>
            <w:hideMark/>
          </w:tcPr>
          <w:p w14:paraId="5BCE2F73" w14:textId="134174E0" w:rsidR="008F369B" w:rsidRDefault="008F369B" w:rsidP="008F369B">
            <w:pPr>
              <w:jc w:val="center"/>
              <w:rPr>
                <w:rFonts w:ascii="Calibri" w:hAnsi="Calibri" w:cs="Calibri"/>
                <w:color w:val="FF0000"/>
                <w:szCs w:val="20"/>
                <w:lang w:eastAsia="en-US"/>
              </w:rPr>
            </w:pPr>
            <w:r w:rsidRPr="002A4856">
              <w:rPr>
                <w:rFonts w:cs="Arial"/>
                <w:color w:val="FF0000"/>
                <w:szCs w:val="20"/>
              </w:rPr>
              <w:t>(doplní dodavatel)</w:t>
            </w:r>
          </w:p>
        </w:tc>
        <w:tc>
          <w:tcPr>
            <w:tcW w:w="2839" w:type="dxa"/>
            <w:hideMark/>
          </w:tcPr>
          <w:p w14:paraId="0FFF27B8" w14:textId="59639F1A" w:rsidR="008F369B" w:rsidRDefault="008F369B" w:rsidP="008F369B">
            <w:pPr>
              <w:jc w:val="center"/>
              <w:rPr>
                <w:rFonts w:ascii="Calibri" w:hAnsi="Calibri" w:cs="Calibri"/>
                <w:color w:val="FF0000"/>
                <w:szCs w:val="20"/>
                <w:lang w:eastAsia="en-US"/>
              </w:rPr>
            </w:pPr>
            <w:r w:rsidRPr="002A4856">
              <w:rPr>
                <w:rFonts w:cs="Arial"/>
                <w:color w:val="FF0000"/>
                <w:szCs w:val="20"/>
              </w:rPr>
              <w:t>(doplní dodavatel)</w:t>
            </w:r>
          </w:p>
        </w:tc>
      </w:tr>
    </w:tbl>
    <w:p w14:paraId="4F73BA24" w14:textId="7AAF5A21" w:rsidR="0067782F" w:rsidRPr="0067782F" w:rsidRDefault="003B23B1" w:rsidP="008F369B">
      <w:pPr>
        <w:pStyle w:val="Nadpis2"/>
        <w:spacing w:before="240"/>
        <w:jc w:val="both"/>
      </w:pPr>
      <w:r>
        <w:rPr>
          <w:rFonts w:asciiTheme="minorHAnsi" w:hAnsiTheme="minorHAnsi"/>
          <w:sz w:val="22"/>
          <w:szCs w:val="22"/>
        </w:rPr>
        <w:t>Na všechny číselné parametry je tolerance +/- 10</w:t>
      </w:r>
      <w:r w:rsidR="00221970">
        <w:rPr>
          <w:rFonts w:asciiTheme="minorHAnsi" w:hAnsiTheme="minorHAnsi"/>
          <w:sz w:val="22"/>
          <w:szCs w:val="22"/>
        </w:rPr>
        <w:t xml:space="preserve"> </w:t>
      </w:r>
      <w:r>
        <w:rPr>
          <w:rFonts w:asciiTheme="minorHAnsi" w:hAnsiTheme="minorHAnsi"/>
          <w:sz w:val="22"/>
          <w:szCs w:val="22"/>
        </w:rPr>
        <w:t>%, mimo číselné parametry uvedené jako min. nebo max.</w:t>
      </w:r>
    </w:p>
    <w:p w14:paraId="537E6B18" w14:textId="33DF60C5" w:rsidR="00FE0B17" w:rsidRDefault="00FE0B17"/>
    <w:sectPr w:rsidR="00FE0B17" w:rsidSect="005E6443">
      <w:headerReference w:type="default" r:id="rId8"/>
      <w:footerReference w:type="default" r:id="rId9"/>
      <w:pgSz w:w="11906" w:h="16838"/>
      <w:pgMar w:top="1361" w:right="1134" w:bottom="96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yriadPro-Regular">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4DFDE512" w:rsidR="00E204A5" w:rsidRDefault="008A6C6A">
    <w:pPr>
      <w:pStyle w:val="Zhlav"/>
      <w:jc w:val="both"/>
    </w:pPr>
    <w:r>
      <w:rPr>
        <w:noProof/>
      </w:rPr>
      <w:drawing>
        <wp:anchor distT="0" distB="0" distL="0" distR="0" simplePos="0" relativeHeight="5" behindDoc="1" locked="0" layoutInCell="1" allowOverlap="1" wp14:anchorId="6E57B41A" wp14:editId="0DC65F37">
          <wp:simplePos x="0" y="0"/>
          <wp:positionH relativeFrom="margin">
            <wp:align>right</wp:align>
          </wp:positionH>
          <wp:positionV relativeFrom="paragraph">
            <wp:posOffset>-109772</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3200" cy="56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C575E"/>
    <w:multiLevelType w:val="hybridMultilevel"/>
    <w:tmpl w:val="E356E6D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0323661"/>
    <w:multiLevelType w:val="hybridMultilevel"/>
    <w:tmpl w:val="F5DA3690"/>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58E816E6"/>
    <w:multiLevelType w:val="hybridMultilevel"/>
    <w:tmpl w:val="3086092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957039E"/>
    <w:multiLevelType w:val="hybridMultilevel"/>
    <w:tmpl w:val="42EAA0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2"/>
  </w:num>
  <w:num w:numId="2" w16cid:durableId="1639647262">
    <w:abstractNumId w:val="13"/>
  </w:num>
  <w:num w:numId="3" w16cid:durableId="2120832709">
    <w:abstractNumId w:val="16"/>
  </w:num>
  <w:num w:numId="4" w16cid:durableId="2119443503">
    <w:abstractNumId w:val="1"/>
  </w:num>
  <w:num w:numId="5" w16cid:durableId="13604711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5"/>
  </w:num>
  <w:num w:numId="7" w16cid:durableId="1928730339">
    <w:abstractNumId w:val="12"/>
  </w:num>
  <w:num w:numId="8" w16cid:durableId="1619097672">
    <w:abstractNumId w:val="11"/>
  </w:num>
  <w:num w:numId="9" w16cid:durableId="1527599014">
    <w:abstractNumId w:val="7"/>
  </w:num>
  <w:num w:numId="10" w16cid:durableId="908928185">
    <w:abstractNumId w:val="9"/>
  </w:num>
  <w:num w:numId="11" w16cid:durableId="1640184336">
    <w:abstractNumId w:val="8"/>
  </w:num>
  <w:num w:numId="12" w16cid:durableId="561216745">
    <w:abstractNumId w:val="15"/>
  </w:num>
  <w:num w:numId="13" w16cid:durableId="957643884">
    <w:abstractNumId w:val="3"/>
  </w:num>
  <w:num w:numId="14" w16cid:durableId="799570579">
    <w:abstractNumId w:val="14"/>
  </w:num>
  <w:num w:numId="15" w16cid:durableId="1335959126">
    <w:abstractNumId w:val="0"/>
  </w:num>
  <w:num w:numId="16" w16cid:durableId="2132624661">
    <w:abstractNumId w:val="10"/>
  </w:num>
  <w:num w:numId="17" w16cid:durableId="9797254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28BA"/>
    <w:rsid w:val="00035D6E"/>
    <w:rsid w:val="000518E2"/>
    <w:rsid w:val="000661BD"/>
    <w:rsid w:val="0010777A"/>
    <w:rsid w:val="00156E75"/>
    <w:rsid w:val="00160D1F"/>
    <w:rsid w:val="00206EEE"/>
    <w:rsid w:val="00221970"/>
    <w:rsid w:val="002815D7"/>
    <w:rsid w:val="00316073"/>
    <w:rsid w:val="00345782"/>
    <w:rsid w:val="00395CE7"/>
    <w:rsid w:val="00396BD9"/>
    <w:rsid w:val="003B23B1"/>
    <w:rsid w:val="003B5F92"/>
    <w:rsid w:val="00423DD3"/>
    <w:rsid w:val="0056587D"/>
    <w:rsid w:val="005E6443"/>
    <w:rsid w:val="0067782F"/>
    <w:rsid w:val="00684C90"/>
    <w:rsid w:val="006E27FD"/>
    <w:rsid w:val="00702EA9"/>
    <w:rsid w:val="00744CD0"/>
    <w:rsid w:val="00894DD4"/>
    <w:rsid w:val="008A6C6A"/>
    <w:rsid w:val="008C2E14"/>
    <w:rsid w:val="008D614B"/>
    <w:rsid w:val="008F369B"/>
    <w:rsid w:val="00940CC3"/>
    <w:rsid w:val="00940F64"/>
    <w:rsid w:val="00A339C9"/>
    <w:rsid w:val="00A67946"/>
    <w:rsid w:val="00A844D8"/>
    <w:rsid w:val="00AF4029"/>
    <w:rsid w:val="00B02141"/>
    <w:rsid w:val="00B94A1B"/>
    <w:rsid w:val="00D30FA3"/>
    <w:rsid w:val="00D6618C"/>
    <w:rsid w:val="00D972EA"/>
    <w:rsid w:val="00DC048D"/>
    <w:rsid w:val="00E204A5"/>
    <w:rsid w:val="00EF4A8A"/>
    <w:rsid w:val="00F26341"/>
    <w:rsid w:val="00F66539"/>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31627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1</Pages>
  <Words>368</Words>
  <Characters>2173</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80</cp:revision>
  <dcterms:created xsi:type="dcterms:W3CDTF">2021-02-25T06:14:00Z</dcterms:created>
  <dcterms:modified xsi:type="dcterms:W3CDTF">2024-02-15T14:00:00Z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